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3"/>
      </w:tblGrid>
      <w:tr w:rsidR="00E208BF" w:rsidRPr="00E208BF" w:rsidTr="00E208BF">
        <w:trPr>
          <w:tblCellSpacing w:w="0" w:type="dxa"/>
          <w:jc w:val="center"/>
        </w:trPr>
        <w:tc>
          <w:tcPr>
            <w:tcW w:w="4300" w:type="pct"/>
            <w:vAlign w:val="center"/>
            <w:hideMark/>
          </w:tcPr>
          <w:p w:rsidR="00E208BF" w:rsidRPr="00E208BF" w:rsidRDefault="00E208BF" w:rsidP="00E208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08BF">
              <w:rPr>
                <w:rFonts w:eastAsia="Times New Roman"/>
                <w:b/>
                <w:bCs/>
                <w:color w:val="808000"/>
                <w:sz w:val="36"/>
                <w:szCs w:val="36"/>
                <w:lang w:eastAsia="pt-BR"/>
              </w:rPr>
              <w:t>Presidência da República</w:t>
            </w:r>
            <w:r w:rsidRPr="00E208BF">
              <w:rPr>
                <w:rFonts w:eastAsia="Times New Roman"/>
                <w:b/>
                <w:bCs/>
                <w:color w:val="808000"/>
                <w:sz w:val="24"/>
                <w:szCs w:val="24"/>
                <w:lang w:eastAsia="pt-BR"/>
              </w:rPr>
              <w:br/>
            </w:r>
            <w:r w:rsidRPr="00E208BF">
              <w:rPr>
                <w:rFonts w:eastAsia="Times New Roman"/>
                <w:b/>
                <w:bCs/>
                <w:color w:val="808000"/>
                <w:sz w:val="27"/>
                <w:szCs w:val="27"/>
                <w:lang w:eastAsia="pt-BR"/>
              </w:rPr>
              <w:t>Casa Civil</w:t>
            </w:r>
            <w:r w:rsidRPr="00E208BF">
              <w:rPr>
                <w:rFonts w:eastAsia="Times New Roman"/>
                <w:b/>
                <w:bCs/>
                <w:color w:val="808000"/>
                <w:sz w:val="27"/>
                <w:szCs w:val="27"/>
                <w:lang w:eastAsia="pt-BR"/>
              </w:rPr>
              <w:br/>
            </w:r>
            <w:r w:rsidRPr="00E208BF">
              <w:rPr>
                <w:rFonts w:eastAsia="Times New Roman"/>
                <w:b/>
                <w:bCs/>
                <w:color w:val="808000"/>
                <w:sz w:val="24"/>
                <w:szCs w:val="24"/>
                <w:lang w:eastAsia="pt-BR"/>
              </w:rPr>
              <w:t>Subchefia para Assuntos Jurídicos</w:t>
            </w:r>
          </w:p>
        </w:tc>
      </w:tr>
    </w:tbl>
    <w:p w:rsidR="00E208BF" w:rsidRPr="00E208BF" w:rsidRDefault="00E208BF" w:rsidP="00E20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" w:history="1">
        <w:r w:rsidRPr="00E208BF">
          <w:rPr>
            <w:rFonts w:eastAsia="Times New Roman"/>
            <w:b/>
            <w:bCs/>
            <w:color w:val="000080"/>
            <w:sz w:val="20"/>
            <w:szCs w:val="20"/>
            <w:u w:val="single"/>
            <w:lang w:eastAsia="pt-BR"/>
          </w:rPr>
          <w:t xml:space="preserve">DECRETO Nº 7.473, DE </w:t>
        </w:r>
        <w:proofErr w:type="gramStart"/>
        <w:r w:rsidRPr="00E208BF">
          <w:rPr>
            <w:rFonts w:eastAsia="Times New Roman"/>
            <w:b/>
            <w:bCs/>
            <w:color w:val="000080"/>
            <w:sz w:val="20"/>
            <w:szCs w:val="20"/>
            <w:u w:val="single"/>
            <w:lang w:eastAsia="pt-BR"/>
          </w:rPr>
          <w:t>5</w:t>
        </w:r>
        <w:proofErr w:type="gramEnd"/>
        <w:r w:rsidRPr="00E208BF">
          <w:rPr>
            <w:rFonts w:eastAsia="Times New Roman"/>
            <w:b/>
            <w:bCs/>
            <w:color w:val="000080"/>
            <w:sz w:val="20"/>
            <w:szCs w:val="20"/>
            <w:u w:val="single"/>
            <w:lang w:eastAsia="pt-BR"/>
          </w:rPr>
          <w:t xml:space="preserve"> DE MAIO DE 2011.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252"/>
      </w:tblGrid>
      <w:tr w:rsidR="00E208BF" w:rsidRPr="00E208BF" w:rsidTr="00E208B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208BF" w:rsidRPr="00E208BF" w:rsidRDefault="00E208BF" w:rsidP="00E2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00" w:type="pct"/>
            <w:vAlign w:val="center"/>
            <w:hideMark/>
          </w:tcPr>
          <w:p w:rsidR="00E208BF" w:rsidRPr="00E208BF" w:rsidRDefault="00E208BF" w:rsidP="00E208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08BF">
              <w:rPr>
                <w:rFonts w:eastAsia="Times New Roman"/>
                <w:color w:val="800000"/>
                <w:sz w:val="20"/>
                <w:szCs w:val="20"/>
                <w:lang w:eastAsia="pt-BR"/>
              </w:rPr>
              <w:t>Altera o Decreto n</w:t>
            </w:r>
            <w:r w:rsidRPr="00E208BF">
              <w:rPr>
                <w:rFonts w:eastAsia="Times New Roman"/>
                <w:color w:val="800000"/>
                <w:sz w:val="20"/>
                <w:szCs w:val="20"/>
                <w:u w:val="single"/>
                <w:vertAlign w:val="superscript"/>
                <w:lang w:eastAsia="pt-BR"/>
              </w:rPr>
              <w:t>o</w:t>
            </w:r>
            <w:r w:rsidRPr="00E208BF">
              <w:rPr>
                <w:rFonts w:eastAsia="Times New Roman"/>
                <w:color w:val="800000"/>
                <w:sz w:val="20"/>
                <w:szCs w:val="20"/>
                <w:lang w:eastAsia="pt-BR"/>
              </w:rPr>
              <w:t xml:space="preserve"> 5.123, de 1</w:t>
            </w:r>
            <w:r w:rsidRPr="00E208BF">
              <w:rPr>
                <w:rFonts w:eastAsia="Times New Roman"/>
                <w:color w:val="800000"/>
                <w:sz w:val="20"/>
                <w:szCs w:val="20"/>
                <w:u w:val="single"/>
                <w:vertAlign w:val="superscript"/>
                <w:lang w:eastAsia="pt-BR"/>
              </w:rPr>
              <w:t>o</w:t>
            </w:r>
            <w:r w:rsidRPr="00E208BF">
              <w:rPr>
                <w:rFonts w:eastAsia="Times New Roman"/>
                <w:color w:val="800000"/>
                <w:sz w:val="20"/>
                <w:szCs w:val="20"/>
                <w:lang w:eastAsia="pt-BR"/>
              </w:rPr>
              <w:t xml:space="preserve"> de julho de 2004, que regulamenta a Lei n</w:t>
            </w:r>
            <w:r w:rsidRPr="00E208BF">
              <w:rPr>
                <w:rFonts w:eastAsia="Times New Roman"/>
                <w:color w:val="800000"/>
                <w:sz w:val="20"/>
                <w:szCs w:val="20"/>
                <w:u w:val="single"/>
                <w:vertAlign w:val="superscript"/>
                <w:lang w:eastAsia="pt-BR"/>
              </w:rPr>
              <w:t>o</w:t>
            </w:r>
            <w:r w:rsidRPr="00E208BF">
              <w:rPr>
                <w:rFonts w:eastAsia="Times New Roman"/>
                <w:color w:val="800000"/>
                <w:sz w:val="20"/>
                <w:szCs w:val="20"/>
                <w:lang w:eastAsia="pt-BR"/>
              </w:rPr>
              <w:t xml:space="preserve"> 10.826, de 22 de dezembro de 2003, que dispõe sobre registro, posse e comercialização de armas de fogo e munição, sobre o Sistema Nacional de Armas - SINARM e define crimes.</w:t>
            </w:r>
          </w:p>
        </w:tc>
      </w:tr>
    </w:tbl>
    <w:p w:rsidR="00E208BF" w:rsidRPr="00E208BF" w:rsidRDefault="00E208BF" w:rsidP="00E208BF">
      <w:pPr>
        <w:spacing w:before="300" w:after="300" w:line="240" w:lineRule="auto"/>
        <w:ind w:firstLine="570"/>
        <w:jc w:val="both"/>
        <w:rPr>
          <w:rFonts w:eastAsia="Times New Roman"/>
          <w:sz w:val="20"/>
          <w:szCs w:val="20"/>
          <w:lang w:eastAsia="pt-BR"/>
        </w:rPr>
      </w:pPr>
      <w:r w:rsidRPr="00E208BF">
        <w:rPr>
          <w:rFonts w:eastAsia="Times New Roman"/>
          <w:b/>
          <w:bCs/>
          <w:color w:val="000000"/>
          <w:sz w:val="20"/>
          <w:szCs w:val="20"/>
          <w:lang w:eastAsia="pt-BR"/>
        </w:rPr>
        <w:t>A PRESIDENTA DA REPÚBLICA</w:t>
      </w:r>
      <w:r w:rsidRPr="00E208BF">
        <w:rPr>
          <w:rFonts w:eastAsia="Times New Roman"/>
          <w:color w:val="000000"/>
          <w:sz w:val="20"/>
          <w:szCs w:val="20"/>
          <w:lang w:eastAsia="pt-BR"/>
        </w:rPr>
        <w:t>, no uso da atribuição que lhe confere o art. 84, inciso IV, da Constituição, e tendo em vista o disposto na Lei n</w:t>
      </w:r>
      <w:r w:rsidRPr="00E208BF">
        <w:rPr>
          <w:rFonts w:eastAsia="Times New Roman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E208BF">
        <w:rPr>
          <w:rFonts w:eastAsia="Times New Roman"/>
          <w:color w:val="000000"/>
          <w:sz w:val="20"/>
          <w:szCs w:val="20"/>
          <w:lang w:eastAsia="pt-BR"/>
        </w:rPr>
        <w:t xml:space="preserve"> 10.826, de 22 de dezembro de 2003, </w:t>
      </w:r>
    </w:p>
    <w:p w:rsidR="00E208BF" w:rsidRPr="00E208BF" w:rsidRDefault="00E208BF" w:rsidP="00E208BF">
      <w:pPr>
        <w:spacing w:before="300" w:after="300" w:line="240" w:lineRule="auto"/>
        <w:ind w:firstLine="570"/>
        <w:jc w:val="both"/>
        <w:rPr>
          <w:rFonts w:eastAsia="Times New Roman"/>
          <w:sz w:val="20"/>
          <w:szCs w:val="20"/>
          <w:lang w:eastAsia="pt-BR"/>
        </w:rPr>
      </w:pPr>
      <w:r w:rsidRPr="00E208BF">
        <w:rPr>
          <w:rFonts w:eastAsia="Times New Roman"/>
          <w:b/>
          <w:bCs/>
          <w:color w:val="000000"/>
          <w:sz w:val="20"/>
          <w:szCs w:val="20"/>
          <w:lang w:eastAsia="pt-BR"/>
        </w:rPr>
        <w:t xml:space="preserve">DECRETA: </w:t>
      </w:r>
    </w:p>
    <w:p w:rsidR="00E208BF" w:rsidRPr="00E208BF" w:rsidRDefault="00E208BF" w:rsidP="00E208BF">
      <w:pPr>
        <w:spacing w:before="300" w:after="300" w:line="240" w:lineRule="auto"/>
        <w:ind w:firstLine="570"/>
        <w:jc w:val="both"/>
        <w:rPr>
          <w:rFonts w:eastAsia="Times New Roman"/>
          <w:sz w:val="20"/>
          <w:szCs w:val="20"/>
          <w:lang w:eastAsia="pt-BR"/>
        </w:rPr>
      </w:pPr>
      <w:bookmarkStart w:id="0" w:name="art1"/>
      <w:bookmarkEnd w:id="0"/>
      <w:r w:rsidRPr="00E208BF">
        <w:rPr>
          <w:rFonts w:eastAsia="Times New Roman"/>
          <w:color w:val="000000"/>
          <w:sz w:val="20"/>
          <w:szCs w:val="20"/>
          <w:lang w:eastAsia="pt-BR"/>
        </w:rPr>
        <w:t>Art. 1</w:t>
      </w:r>
      <w:r w:rsidRPr="00E208BF">
        <w:rPr>
          <w:rFonts w:eastAsia="Times New Roman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E208BF">
        <w:rPr>
          <w:rFonts w:eastAsia="Times New Roman"/>
          <w:color w:val="000000"/>
          <w:sz w:val="20"/>
          <w:szCs w:val="20"/>
          <w:lang w:eastAsia="pt-BR"/>
        </w:rPr>
        <w:t xml:space="preserve"> Os </w:t>
      </w:r>
      <w:proofErr w:type="spellStart"/>
      <w:r w:rsidRPr="00E208BF">
        <w:rPr>
          <w:rFonts w:eastAsia="Times New Roman"/>
          <w:color w:val="000000"/>
          <w:sz w:val="20"/>
          <w:szCs w:val="20"/>
          <w:lang w:eastAsia="pt-BR"/>
        </w:rPr>
        <w:t>arts</w:t>
      </w:r>
      <w:proofErr w:type="spellEnd"/>
      <w:r w:rsidRPr="00E208BF">
        <w:rPr>
          <w:rFonts w:eastAsia="Times New Roman"/>
          <w:color w:val="000000"/>
          <w:sz w:val="20"/>
          <w:szCs w:val="20"/>
          <w:lang w:eastAsia="pt-BR"/>
        </w:rPr>
        <w:t>. 68, 69, 70 e 70-G do Decreto n</w:t>
      </w:r>
      <w:r w:rsidRPr="00E208BF">
        <w:rPr>
          <w:rFonts w:eastAsia="Times New Roman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E208BF">
        <w:rPr>
          <w:rFonts w:eastAsia="Times New Roman"/>
          <w:color w:val="000000"/>
          <w:sz w:val="20"/>
          <w:szCs w:val="20"/>
          <w:lang w:eastAsia="pt-BR"/>
        </w:rPr>
        <w:t xml:space="preserve"> 5.123, de 1</w:t>
      </w:r>
      <w:r w:rsidRPr="00E208BF">
        <w:rPr>
          <w:rFonts w:eastAsia="Times New Roman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E208BF">
        <w:rPr>
          <w:rFonts w:eastAsia="Times New Roman"/>
          <w:color w:val="000000"/>
          <w:sz w:val="20"/>
          <w:szCs w:val="20"/>
          <w:lang w:eastAsia="pt-BR"/>
        </w:rPr>
        <w:t xml:space="preserve"> de julho de 2004, passam a vigorar com a seguinte redação: </w:t>
      </w:r>
    </w:p>
    <w:p w:rsidR="00E208BF" w:rsidRPr="00E208BF" w:rsidRDefault="00E208BF" w:rsidP="00E208BF">
      <w:pPr>
        <w:spacing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pt-BR"/>
        </w:rPr>
      </w:pPr>
      <w:r w:rsidRPr="00E208BF">
        <w:rPr>
          <w:rFonts w:eastAsia="Times New Roman"/>
          <w:color w:val="000000"/>
          <w:sz w:val="20"/>
          <w:szCs w:val="20"/>
          <w:lang w:eastAsia="pt-BR"/>
        </w:rPr>
        <w:t>“Art. 68</w:t>
      </w:r>
      <w:proofErr w:type="gramStart"/>
      <w:r w:rsidRPr="00E208BF">
        <w:rPr>
          <w:rFonts w:eastAsia="Times New Roman"/>
          <w:color w:val="000000"/>
          <w:sz w:val="20"/>
          <w:szCs w:val="20"/>
          <w:lang w:eastAsia="pt-BR"/>
        </w:rPr>
        <w:t>. ...</w:t>
      </w:r>
      <w:proofErr w:type="gramEnd"/>
      <w:r w:rsidRPr="00E208BF">
        <w:rPr>
          <w:rFonts w:eastAsia="Times New Roman"/>
          <w:color w:val="000000"/>
          <w:sz w:val="20"/>
          <w:szCs w:val="20"/>
          <w:lang w:eastAsia="pt-BR"/>
        </w:rPr>
        <w:t xml:space="preserve">.............................................................................................................................. </w:t>
      </w:r>
    </w:p>
    <w:p w:rsidR="00E208BF" w:rsidRPr="00E208BF" w:rsidRDefault="00E208BF" w:rsidP="00E208BF">
      <w:p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pt-BR"/>
        </w:rPr>
      </w:pPr>
      <w:hyperlink r:id="rId6" w:anchor="art68p" w:history="1">
        <w:r w:rsidRPr="00E208BF">
          <w:rPr>
            <w:rFonts w:eastAsia="Times New Roman"/>
            <w:color w:val="0000FF"/>
            <w:sz w:val="20"/>
            <w:szCs w:val="20"/>
            <w:u w:val="single"/>
            <w:lang w:eastAsia="pt-BR"/>
          </w:rPr>
          <w:t xml:space="preserve">Parágrafo único. </w:t>
        </w:r>
      </w:hyperlink>
      <w:r w:rsidRPr="00E208BF">
        <w:rPr>
          <w:rFonts w:eastAsia="Times New Roman"/>
          <w:color w:val="000000"/>
          <w:sz w:val="20"/>
          <w:szCs w:val="20"/>
          <w:lang w:eastAsia="pt-BR"/>
        </w:rPr>
        <w:t xml:space="preserve">Os recursos financeiros necessários para o cumprimento do disposto nos </w:t>
      </w:r>
      <w:proofErr w:type="spellStart"/>
      <w:r w:rsidRPr="00E208BF">
        <w:rPr>
          <w:rFonts w:eastAsia="Times New Roman"/>
          <w:color w:val="000000"/>
          <w:sz w:val="20"/>
          <w:szCs w:val="20"/>
          <w:lang w:eastAsia="pt-BR"/>
        </w:rPr>
        <w:t>arts</w:t>
      </w:r>
      <w:proofErr w:type="spellEnd"/>
      <w:r w:rsidRPr="00E208BF">
        <w:rPr>
          <w:rFonts w:eastAsia="Times New Roman"/>
          <w:color w:val="000000"/>
          <w:sz w:val="20"/>
          <w:szCs w:val="20"/>
          <w:lang w:eastAsia="pt-BR"/>
        </w:rPr>
        <w:t>. 31 e 32 da Lei n</w:t>
      </w:r>
      <w:r w:rsidRPr="00E208BF">
        <w:rPr>
          <w:rFonts w:eastAsia="Times New Roman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E208BF">
        <w:rPr>
          <w:rFonts w:eastAsia="Times New Roman"/>
          <w:color w:val="000000"/>
          <w:sz w:val="20"/>
          <w:szCs w:val="20"/>
          <w:lang w:eastAsia="pt-BR"/>
        </w:rPr>
        <w:t xml:space="preserve"> 10.826, de 2003, serão custeados por dotação específica constante do orçamento do Ministério da Justiça. </w:t>
      </w:r>
    </w:p>
    <w:p w:rsidR="00E208BF" w:rsidRPr="00E208BF" w:rsidRDefault="00E208BF" w:rsidP="00E208BF">
      <w:p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pt-BR"/>
        </w:rPr>
      </w:pPr>
      <w:r w:rsidRPr="00E208BF">
        <w:rPr>
          <w:rFonts w:eastAsia="Times New Roman"/>
          <w:color w:val="000000"/>
          <w:sz w:val="20"/>
          <w:szCs w:val="20"/>
          <w:lang w:eastAsia="pt-BR"/>
        </w:rPr>
        <w:t>“</w:t>
      </w:r>
      <w:hyperlink r:id="rId7" w:anchor="art69" w:history="1">
        <w:r w:rsidRPr="00E208BF">
          <w:rPr>
            <w:rFonts w:eastAsia="Times New Roman"/>
            <w:color w:val="0000FF"/>
            <w:sz w:val="20"/>
            <w:szCs w:val="20"/>
            <w:u w:val="single"/>
            <w:lang w:eastAsia="pt-BR"/>
          </w:rPr>
          <w:t xml:space="preserve">Art. 69. </w:t>
        </w:r>
      </w:hyperlink>
      <w:r w:rsidRPr="00E208BF">
        <w:rPr>
          <w:rFonts w:eastAsia="Times New Roman"/>
          <w:color w:val="000000"/>
          <w:sz w:val="20"/>
          <w:szCs w:val="20"/>
          <w:lang w:eastAsia="pt-BR"/>
        </w:rPr>
        <w:t>Presumir-se-á a boa-fé dos possuidores e proprietários de armas de fogo que espontaneamente entregá-las na Polícia Federal ou nos postos de recolhimento credenciados, nos termos do art. 32 da Lei n</w:t>
      </w:r>
      <w:r w:rsidRPr="00E208BF">
        <w:rPr>
          <w:rFonts w:eastAsia="Times New Roman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E208BF">
        <w:rPr>
          <w:rFonts w:eastAsia="Times New Roman"/>
          <w:color w:val="000000"/>
          <w:sz w:val="20"/>
          <w:szCs w:val="20"/>
          <w:lang w:eastAsia="pt-BR"/>
        </w:rPr>
        <w:t xml:space="preserve"> 10.826, de 2003.” (NR</w:t>
      </w:r>
      <w:proofErr w:type="gramStart"/>
      <w:r w:rsidRPr="00E208BF">
        <w:rPr>
          <w:rFonts w:eastAsia="Times New Roman"/>
          <w:color w:val="000000"/>
          <w:sz w:val="20"/>
          <w:szCs w:val="20"/>
          <w:lang w:eastAsia="pt-BR"/>
        </w:rPr>
        <w:t>)</w:t>
      </w:r>
      <w:proofErr w:type="gramEnd"/>
      <w:r w:rsidRPr="00E208BF">
        <w:rPr>
          <w:rFonts w:eastAsia="Times New Roman"/>
          <w:color w:val="000000"/>
          <w:sz w:val="20"/>
          <w:szCs w:val="20"/>
          <w:lang w:eastAsia="pt-BR"/>
        </w:rPr>
        <w:t xml:space="preserve"> </w:t>
      </w:r>
    </w:p>
    <w:p w:rsidR="00E208BF" w:rsidRPr="00E208BF" w:rsidRDefault="00E208BF" w:rsidP="00E208BF">
      <w:p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pt-BR"/>
        </w:rPr>
      </w:pPr>
      <w:r w:rsidRPr="00E208BF">
        <w:rPr>
          <w:rFonts w:eastAsia="Times New Roman"/>
          <w:color w:val="000000"/>
          <w:sz w:val="20"/>
          <w:szCs w:val="20"/>
          <w:lang w:eastAsia="pt-BR"/>
        </w:rPr>
        <w:t>“</w:t>
      </w:r>
      <w:hyperlink r:id="rId8" w:anchor="art70" w:history="1">
        <w:r w:rsidRPr="00E208BF">
          <w:rPr>
            <w:rFonts w:eastAsia="Times New Roman"/>
            <w:color w:val="0000FF"/>
            <w:sz w:val="20"/>
            <w:szCs w:val="20"/>
            <w:u w:val="single"/>
            <w:lang w:eastAsia="pt-BR"/>
          </w:rPr>
          <w:t xml:space="preserve">Art. 70. </w:t>
        </w:r>
      </w:hyperlink>
      <w:r w:rsidRPr="00E208BF">
        <w:rPr>
          <w:rFonts w:eastAsia="Times New Roman"/>
          <w:color w:val="000000"/>
          <w:sz w:val="20"/>
          <w:szCs w:val="20"/>
          <w:lang w:eastAsia="pt-BR"/>
        </w:rPr>
        <w:t xml:space="preserve">A entrega da arma de fogo, acessório ou munição, de que tratam os </w:t>
      </w:r>
      <w:proofErr w:type="spellStart"/>
      <w:r w:rsidRPr="00E208BF">
        <w:rPr>
          <w:rFonts w:eastAsia="Times New Roman"/>
          <w:color w:val="000000"/>
          <w:sz w:val="20"/>
          <w:szCs w:val="20"/>
          <w:lang w:eastAsia="pt-BR"/>
        </w:rPr>
        <w:t>arts</w:t>
      </w:r>
      <w:proofErr w:type="spellEnd"/>
      <w:r w:rsidRPr="00E208BF">
        <w:rPr>
          <w:rFonts w:eastAsia="Times New Roman"/>
          <w:color w:val="000000"/>
          <w:sz w:val="20"/>
          <w:szCs w:val="20"/>
          <w:lang w:eastAsia="pt-BR"/>
        </w:rPr>
        <w:t>. 31 e 32 da Lei n</w:t>
      </w:r>
      <w:r w:rsidRPr="00E208BF">
        <w:rPr>
          <w:rFonts w:eastAsia="Times New Roman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E208BF">
        <w:rPr>
          <w:rFonts w:eastAsia="Times New Roman"/>
          <w:color w:val="000000"/>
          <w:sz w:val="20"/>
          <w:szCs w:val="20"/>
          <w:lang w:eastAsia="pt-BR"/>
        </w:rPr>
        <w:t xml:space="preserve"> 10.826, de 2003, </w:t>
      </w:r>
      <w:proofErr w:type="gramStart"/>
      <w:r w:rsidRPr="00E208BF">
        <w:rPr>
          <w:rFonts w:eastAsia="Times New Roman"/>
          <w:color w:val="000000"/>
          <w:sz w:val="20"/>
          <w:szCs w:val="20"/>
          <w:lang w:eastAsia="pt-BR"/>
        </w:rPr>
        <w:t>deverá ser</w:t>
      </w:r>
      <w:proofErr w:type="gramEnd"/>
      <w:r w:rsidRPr="00E208BF">
        <w:rPr>
          <w:rFonts w:eastAsia="Times New Roman"/>
          <w:color w:val="000000"/>
          <w:sz w:val="20"/>
          <w:szCs w:val="20"/>
          <w:lang w:eastAsia="pt-BR"/>
        </w:rPr>
        <w:t xml:space="preserve"> feita na Polícia Federal ou nos órgãos e entidades credenciados pelo Ministério da Justiça. </w:t>
      </w:r>
    </w:p>
    <w:p w:rsidR="00E208BF" w:rsidRPr="00E208BF" w:rsidRDefault="00E208BF" w:rsidP="00E208BF">
      <w:p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pt-BR"/>
        </w:rPr>
      </w:pPr>
      <w:r w:rsidRPr="00E208BF">
        <w:rPr>
          <w:rFonts w:eastAsia="Times New Roman"/>
          <w:color w:val="000000"/>
          <w:sz w:val="20"/>
          <w:szCs w:val="20"/>
          <w:lang w:eastAsia="pt-BR"/>
        </w:rPr>
        <w:t>§ 1</w:t>
      </w:r>
      <w:r w:rsidRPr="00E208BF">
        <w:rPr>
          <w:rFonts w:eastAsia="Times New Roman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E208BF">
        <w:rPr>
          <w:rFonts w:eastAsia="Times New Roman"/>
          <w:color w:val="000000"/>
          <w:sz w:val="20"/>
          <w:szCs w:val="20"/>
          <w:lang w:eastAsia="pt-BR"/>
        </w:rPr>
        <w:t xml:space="preserve"> Para o transporte da arma de fogo até o local de entrega, será exigida guia de trânsito, expedida pela Polícia Federal, ou órgão por ela credenciado, contendo as especificações mínimas estabelecidas pelo Ministério da Justiça.</w:t>
      </w:r>
    </w:p>
    <w:p w:rsidR="00E208BF" w:rsidRPr="00E208BF" w:rsidRDefault="00E208BF" w:rsidP="00E208BF">
      <w:p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pt-BR"/>
        </w:rPr>
      </w:pPr>
      <w:proofErr w:type="gramStart"/>
      <w:r w:rsidRPr="00E208BF">
        <w:rPr>
          <w:rFonts w:eastAsia="Times New Roman"/>
          <w:color w:val="000000"/>
          <w:sz w:val="20"/>
          <w:szCs w:val="20"/>
          <w:lang w:eastAsia="pt-BR"/>
        </w:rPr>
        <w:t>...............................................................................................................................................</w:t>
      </w:r>
      <w:proofErr w:type="gramEnd"/>
      <w:r w:rsidRPr="00E208BF">
        <w:rPr>
          <w:rFonts w:eastAsia="Times New Roman"/>
          <w:color w:val="000000"/>
          <w:sz w:val="20"/>
          <w:szCs w:val="20"/>
          <w:lang w:eastAsia="pt-BR"/>
        </w:rPr>
        <w:t xml:space="preserve">”(NR) </w:t>
      </w:r>
    </w:p>
    <w:p w:rsidR="00E208BF" w:rsidRPr="00E208BF" w:rsidRDefault="00E208BF" w:rsidP="00E208BF">
      <w:p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pt-BR"/>
        </w:rPr>
      </w:pPr>
      <w:r w:rsidRPr="00E208BF">
        <w:rPr>
          <w:rFonts w:eastAsia="Times New Roman"/>
          <w:color w:val="000000"/>
          <w:sz w:val="20"/>
          <w:szCs w:val="20"/>
          <w:lang w:eastAsia="pt-BR"/>
        </w:rPr>
        <w:t>“</w:t>
      </w:r>
      <w:hyperlink r:id="rId9" w:anchor="art70g." w:history="1">
        <w:r w:rsidRPr="00E208BF">
          <w:rPr>
            <w:rFonts w:eastAsia="Times New Roman"/>
            <w:color w:val="0000FF"/>
            <w:sz w:val="20"/>
            <w:szCs w:val="20"/>
            <w:u w:val="single"/>
            <w:lang w:eastAsia="pt-BR"/>
          </w:rPr>
          <w:t xml:space="preserve">Art. 70-G. </w:t>
        </w:r>
      </w:hyperlink>
      <w:r w:rsidRPr="00E208BF">
        <w:rPr>
          <w:rFonts w:eastAsia="Times New Roman"/>
          <w:color w:val="000000"/>
          <w:sz w:val="20"/>
          <w:szCs w:val="20"/>
          <w:lang w:eastAsia="pt-BR"/>
        </w:rPr>
        <w:t>Compete ao Ministério da Justiça estabelecer os procedimentos necessários à execução da campanha do desarmamento e ao Departamento de Polícia Federal a regularização de armas de fogo.” (NR</w:t>
      </w:r>
      <w:proofErr w:type="gramStart"/>
      <w:r w:rsidRPr="00E208BF">
        <w:rPr>
          <w:rFonts w:eastAsia="Times New Roman"/>
          <w:color w:val="000000"/>
          <w:sz w:val="20"/>
          <w:szCs w:val="20"/>
          <w:lang w:eastAsia="pt-BR"/>
        </w:rPr>
        <w:t>)</w:t>
      </w:r>
      <w:proofErr w:type="gramEnd"/>
      <w:r w:rsidRPr="00E208BF">
        <w:rPr>
          <w:rFonts w:eastAsia="Times New Roman"/>
          <w:color w:val="000000"/>
          <w:sz w:val="20"/>
          <w:szCs w:val="20"/>
          <w:lang w:eastAsia="pt-BR"/>
        </w:rPr>
        <w:t xml:space="preserve"> </w:t>
      </w:r>
    </w:p>
    <w:p w:rsidR="00E208BF" w:rsidRPr="00E208BF" w:rsidRDefault="00E208BF" w:rsidP="00E208BF">
      <w:pPr>
        <w:spacing w:before="300" w:after="300" w:line="240" w:lineRule="auto"/>
        <w:ind w:firstLine="570"/>
        <w:jc w:val="both"/>
        <w:rPr>
          <w:rFonts w:eastAsia="Times New Roman"/>
          <w:sz w:val="20"/>
          <w:szCs w:val="20"/>
          <w:lang w:eastAsia="pt-BR"/>
        </w:rPr>
      </w:pPr>
      <w:r w:rsidRPr="00E208BF">
        <w:rPr>
          <w:rFonts w:eastAsia="Times New Roman"/>
          <w:color w:val="000000"/>
          <w:sz w:val="20"/>
          <w:szCs w:val="20"/>
          <w:lang w:eastAsia="pt-BR"/>
        </w:rPr>
        <w:t>Art. 2</w:t>
      </w:r>
      <w:r w:rsidRPr="00E208BF">
        <w:rPr>
          <w:rFonts w:eastAsia="Times New Roman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E208BF">
        <w:rPr>
          <w:rFonts w:eastAsia="Times New Roman"/>
          <w:color w:val="000000"/>
          <w:sz w:val="20"/>
          <w:szCs w:val="20"/>
          <w:lang w:eastAsia="pt-BR"/>
        </w:rPr>
        <w:t xml:space="preserve"> Este Decreto entra em vigor na data de sua publicação. </w:t>
      </w:r>
    </w:p>
    <w:p w:rsidR="00E208BF" w:rsidRPr="00E208BF" w:rsidRDefault="00E208BF" w:rsidP="00E208BF">
      <w:pPr>
        <w:spacing w:before="300" w:after="300" w:line="240" w:lineRule="auto"/>
        <w:ind w:firstLine="570"/>
        <w:jc w:val="both"/>
        <w:rPr>
          <w:rFonts w:eastAsia="Times New Roman"/>
          <w:sz w:val="20"/>
          <w:szCs w:val="20"/>
          <w:lang w:eastAsia="pt-BR"/>
        </w:rPr>
      </w:pPr>
      <w:r w:rsidRPr="00E208BF">
        <w:rPr>
          <w:rFonts w:eastAsia="Times New Roman"/>
          <w:color w:val="000000"/>
          <w:sz w:val="20"/>
          <w:szCs w:val="20"/>
          <w:lang w:eastAsia="pt-BR"/>
        </w:rPr>
        <w:t xml:space="preserve">Brasília, </w:t>
      </w:r>
      <w:proofErr w:type="gramStart"/>
      <w:r w:rsidRPr="00E208BF">
        <w:rPr>
          <w:rFonts w:eastAsia="Times New Roman"/>
          <w:color w:val="000000"/>
          <w:sz w:val="20"/>
          <w:szCs w:val="20"/>
          <w:lang w:eastAsia="pt-BR"/>
        </w:rPr>
        <w:t>5</w:t>
      </w:r>
      <w:proofErr w:type="gramEnd"/>
      <w:r w:rsidRPr="00E208BF">
        <w:rPr>
          <w:rFonts w:eastAsia="Times New Roman"/>
          <w:color w:val="000000"/>
          <w:sz w:val="20"/>
          <w:szCs w:val="20"/>
          <w:lang w:eastAsia="pt-BR"/>
        </w:rPr>
        <w:t xml:space="preserve"> de maio de 2011; 190</w:t>
      </w:r>
      <w:r w:rsidRPr="00E208BF">
        <w:rPr>
          <w:rFonts w:eastAsia="Times New Roman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E208BF">
        <w:rPr>
          <w:rFonts w:eastAsia="Times New Roman"/>
          <w:color w:val="000000"/>
          <w:sz w:val="20"/>
          <w:szCs w:val="20"/>
          <w:lang w:eastAsia="pt-BR"/>
        </w:rPr>
        <w:t xml:space="preserve"> da Independência e 123</w:t>
      </w:r>
      <w:r w:rsidRPr="00E208BF">
        <w:rPr>
          <w:rFonts w:eastAsia="Times New Roman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E208BF">
        <w:rPr>
          <w:rFonts w:eastAsia="Times New Roman"/>
          <w:color w:val="000000"/>
          <w:sz w:val="20"/>
          <w:szCs w:val="20"/>
          <w:lang w:eastAsia="pt-BR"/>
        </w:rPr>
        <w:t xml:space="preserve"> da República. </w:t>
      </w:r>
    </w:p>
    <w:p w:rsidR="00E208BF" w:rsidRPr="00E208BF" w:rsidRDefault="00E208BF" w:rsidP="00E20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8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DILMA ROUSSEFF</w:t>
      </w:r>
      <w:r w:rsidRPr="00E208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E208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José Eduardo Cardozo</w:t>
      </w:r>
      <w:r w:rsidRPr="00E208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br/>
        <w:t>Nelson Jobim</w:t>
      </w:r>
    </w:p>
    <w:p w:rsidR="006912A8" w:rsidRPr="00E208BF" w:rsidRDefault="00E208BF" w:rsidP="00E208BF">
      <w:pPr>
        <w:spacing w:before="300" w:after="300" w:line="240" w:lineRule="auto"/>
        <w:jc w:val="both"/>
        <w:rPr>
          <w:rFonts w:eastAsia="Times New Roman"/>
          <w:sz w:val="20"/>
          <w:szCs w:val="20"/>
          <w:lang w:eastAsia="pt-BR"/>
        </w:rPr>
      </w:pPr>
      <w:r w:rsidRPr="00E208BF">
        <w:rPr>
          <w:rFonts w:eastAsia="Times New Roman"/>
          <w:color w:val="FF0000"/>
          <w:sz w:val="20"/>
          <w:szCs w:val="20"/>
          <w:lang w:eastAsia="pt-BR"/>
        </w:rPr>
        <w:t>Este texto não substitui o publicado no DOU de 6.5.2011</w:t>
      </w:r>
      <w:r w:rsidRPr="00E208BF">
        <w:rPr>
          <w:rFonts w:eastAsia="Times New Roman"/>
          <w:color w:val="000000"/>
          <w:sz w:val="20"/>
          <w:szCs w:val="20"/>
          <w:lang w:eastAsia="pt-BR"/>
        </w:rPr>
        <w:t xml:space="preserve"> </w:t>
      </w:r>
      <w:bookmarkStart w:id="1" w:name="_GoBack"/>
      <w:bookmarkEnd w:id="1"/>
    </w:p>
    <w:sectPr w:rsidR="006912A8" w:rsidRPr="00E208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BF"/>
    <w:rsid w:val="006912A8"/>
    <w:rsid w:val="00E2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6"/>
        <w:szCs w:val="26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6"/>
        <w:szCs w:val="26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80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57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04-2006/2004/Decreto/D5123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_Ato2004-2006/2004/Decreto/D5123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_Ato2004-2006/2004/Decreto/D5123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egislacao.planalto.gov.br/legisla/legislacao.nsf/Viw_Identificacao/DEC%207.473-2011?OpenDocumen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_Ato2004-2006/2004/Decreto/D5123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1</cp:revision>
  <dcterms:created xsi:type="dcterms:W3CDTF">2013-05-22T11:43:00Z</dcterms:created>
  <dcterms:modified xsi:type="dcterms:W3CDTF">2013-05-22T11:44:00Z</dcterms:modified>
</cp:coreProperties>
</file>